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4" w:rsidRDefault="007B1E34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B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прогнозного плана приватизации муниципального имущества Ханты-Мансийского района з</w:t>
      </w:r>
      <w:r w:rsidR="00F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bookmarkEnd w:id="0"/>
    <w:p w:rsidR="00F162C0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6A" w:rsidRDefault="00B01657" w:rsidP="000C0F6A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содержание приложения Проекта соответствует требованиям пункта 9 статьи 23 Положения                       о порядке управления и распоряжения муниципальным имуществом Ханты-Мансийского района, утвержденного решением Думы                        Ханты-Мансийского района от 20.03.2014 № 332</w:t>
      </w:r>
      <w:r w:rsidR="00951E74" w:rsidRPr="00AE28A1">
        <w:rPr>
          <w:rFonts w:ascii="Times New Roman" w:hAnsi="Times New Roman" w:cs="Times New Roman"/>
          <w:sz w:val="28"/>
          <w:szCs w:val="28"/>
        </w:rPr>
        <w:t xml:space="preserve"> (</w:t>
      </w:r>
      <w:r w:rsidR="00AE28A1">
        <w:rPr>
          <w:rFonts w:ascii="Times New Roman" w:hAnsi="Times New Roman" w:cs="Times New Roman"/>
          <w:sz w:val="28"/>
          <w:szCs w:val="28"/>
        </w:rPr>
        <w:t>с изменениями</w:t>
      </w:r>
      <w:r w:rsidR="00951E74" w:rsidRPr="00AE28A1">
        <w:rPr>
          <w:rFonts w:ascii="Times New Roman" w:hAnsi="Times New Roman" w:cs="Times New Roman"/>
          <w:sz w:val="28"/>
          <w:szCs w:val="28"/>
        </w:rPr>
        <w:t>).</w:t>
      </w:r>
      <w:r w:rsidR="00824D87" w:rsidRPr="00AE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30" w:rsidRPr="000C0F6A" w:rsidRDefault="00B01657" w:rsidP="000C0F6A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прогнозному плану приватизации, утвержденному решением Думы Ханты-Мансийского района </w:t>
      </w:r>
      <w:r w:rsidR="00951E74" w:rsidRPr="00495630">
        <w:rPr>
          <w:rFonts w:ascii="Times New Roman" w:hAnsi="Times New Roman" w:cs="Times New Roman"/>
          <w:sz w:val="28"/>
          <w:szCs w:val="28"/>
        </w:rPr>
        <w:t xml:space="preserve">от </w:t>
      </w:r>
      <w:r w:rsidR="00C1609B" w:rsidRPr="00495630">
        <w:rPr>
          <w:rFonts w:ascii="Times New Roman" w:hAnsi="Times New Roman" w:cs="Times New Roman"/>
          <w:sz w:val="28"/>
          <w:szCs w:val="28"/>
        </w:rPr>
        <w:t>13.12.2019</w:t>
      </w:r>
      <w:r w:rsidR="00951E74" w:rsidRPr="00495630">
        <w:rPr>
          <w:rFonts w:ascii="Times New Roman" w:hAnsi="Times New Roman" w:cs="Times New Roman"/>
          <w:sz w:val="28"/>
          <w:szCs w:val="28"/>
        </w:rPr>
        <w:t xml:space="preserve"> № </w:t>
      </w:r>
      <w:r w:rsidR="00C1609B" w:rsidRPr="00495630">
        <w:rPr>
          <w:rFonts w:ascii="Times New Roman" w:hAnsi="Times New Roman" w:cs="Times New Roman"/>
          <w:sz w:val="28"/>
          <w:szCs w:val="28"/>
        </w:rPr>
        <w:t>532</w:t>
      </w:r>
      <w:r w:rsidR="00951E74" w:rsidRPr="00495630">
        <w:rPr>
          <w:rFonts w:ascii="Times New Roman" w:hAnsi="Times New Roman" w:cs="Times New Roman"/>
          <w:sz w:val="28"/>
          <w:szCs w:val="28"/>
        </w:rPr>
        <w:br/>
        <w:t xml:space="preserve">«Об утверждении прогнозного плана приватизации муниципального имущества </w:t>
      </w:r>
      <w:r w:rsidR="00C1609B" w:rsidRPr="00495630">
        <w:rPr>
          <w:rFonts w:ascii="Times New Roman" w:hAnsi="Times New Roman" w:cs="Times New Roman"/>
          <w:sz w:val="28"/>
          <w:szCs w:val="28"/>
        </w:rPr>
        <w:t>Ханты-Мансийского района на 2020</w:t>
      </w:r>
      <w:r w:rsidR="00951E74" w:rsidRPr="0049563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E7859" w:rsidRPr="00495630">
        <w:rPr>
          <w:rFonts w:ascii="Times New Roman" w:hAnsi="Times New Roman" w:cs="Times New Roman"/>
          <w:sz w:val="28"/>
          <w:szCs w:val="28"/>
        </w:rPr>
        <w:t>2</w:t>
      </w:r>
      <w:r w:rsidR="00C1609B" w:rsidRPr="00495630">
        <w:rPr>
          <w:rFonts w:ascii="Times New Roman" w:hAnsi="Times New Roman" w:cs="Times New Roman"/>
          <w:sz w:val="28"/>
          <w:szCs w:val="28"/>
        </w:rPr>
        <w:t>1</w:t>
      </w:r>
      <w:r w:rsidR="00951E74" w:rsidRPr="00495630">
        <w:rPr>
          <w:rFonts w:ascii="Times New Roman" w:hAnsi="Times New Roman" w:cs="Times New Roman"/>
          <w:sz w:val="28"/>
          <w:szCs w:val="28"/>
        </w:rPr>
        <w:t xml:space="preserve"> и 202</w:t>
      </w:r>
      <w:r w:rsidR="00C1609B" w:rsidRPr="00495630">
        <w:rPr>
          <w:rFonts w:ascii="Times New Roman" w:hAnsi="Times New Roman" w:cs="Times New Roman"/>
          <w:sz w:val="28"/>
          <w:szCs w:val="28"/>
        </w:rPr>
        <w:t>2</w:t>
      </w:r>
      <w:r w:rsidR="00951E74" w:rsidRPr="0049563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C1609B"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20.03.2020 и 28.05.2020</w:t>
      </w:r>
      <w:r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</w:t>
      </w:r>
      <w:r w:rsidR="00951E74"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48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609B"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приватизации на 2020</w:t>
      </w:r>
      <w:r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планируемые поступления </w:t>
      </w:r>
      <w:r w:rsid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исполнения прогнозного плана приватизации</w:t>
      </w:r>
      <w:r w:rsidR="00495630"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на 2020</w:t>
      </w:r>
      <w:r w:rsidR="00F94A61" w:rsidRPr="0049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ожидались в объеме - </w:t>
      </w:r>
      <w:r w:rsidR="00495630" w:rsidRPr="00495630">
        <w:rPr>
          <w:rFonts w:ascii="Times New Roman" w:hAnsi="Times New Roman" w:cs="Times New Roman"/>
          <w:sz w:val="28"/>
          <w:szCs w:val="28"/>
        </w:rPr>
        <w:t>до</w:t>
      </w:r>
      <w:r w:rsidR="00495630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 w:rsidR="00495630">
        <w:rPr>
          <w:rFonts w:ascii="Times New Roman" w:hAnsi="Times New Roman" w:cs="Times New Roman"/>
          <w:sz w:val="28"/>
          <w:szCs w:val="28"/>
        </w:rPr>
        <w:t xml:space="preserve"> 700,0 тыс. рублей, в том числе: от продажи муниципального имущества – 13 100,0 тыс. рублей, </w:t>
      </w:r>
      <w:r w:rsidR="00D908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5630">
        <w:rPr>
          <w:rFonts w:ascii="Times New Roman" w:hAnsi="Times New Roman" w:cs="Times New Roman"/>
          <w:sz w:val="28"/>
          <w:szCs w:val="28"/>
        </w:rPr>
        <w:t>от продажи земельных участков – 600,0 тыс. рублей.</w:t>
      </w:r>
    </w:p>
    <w:p w:rsidR="000C0F6A" w:rsidRDefault="00B01657" w:rsidP="000C0F6A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по приватизации имущества, согласно данным графы «Цена сделки приватизации» приложения к Проекту, 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 </w:t>
      </w:r>
      <w:r w:rsidR="008C4DBB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95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4B89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муниципального имущества, включенного в план </w:t>
      </w:r>
      <w:r w:rsidR="00AF6C20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на 20</w:t>
      </w:r>
      <w:r w:rsidR="00684B89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- </w:t>
      </w:r>
      <w:r w:rsidR="00684B89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783,5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E2EC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3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C0F6A">
        <w:rPr>
          <w:rFonts w:ascii="Times New Roman" w:eastAsia="Times New Roman" w:hAnsi="Times New Roman" w:cs="Times New Roman"/>
          <w:sz w:val="28"/>
          <w:szCs w:val="28"/>
          <w:lang w:eastAsia="ru-RU"/>
        </w:rPr>
        <w:t>5,7 %.</w:t>
      </w:r>
    </w:p>
    <w:p w:rsidR="00482E75" w:rsidRDefault="00B01657" w:rsidP="00482E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322F6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позиций Плана приватизации </w:t>
      </w:r>
      <w:r w:rsidR="00684B89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(с изменениями от </w:t>
      </w:r>
      <w:r w:rsidR="000322F6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реализовано </w:t>
      </w:r>
      <w:r w:rsidR="000322F6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6C20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AF6C20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приватизировано </w:t>
      </w:r>
      <w:r w:rsidR="006D2EDF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8F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F6" w:rsidRP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имущества.</w:t>
      </w:r>
    </w:p>
    <w:p w:rsidR="00BD5C59" w:rsidRPr="00684B89" w:rsidRDefault="00BD5C59" w:rsidP="00482E7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данные </w:t>
      </w:r>
      <w:r w:rsidR="00D64E6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</w:t>
      </w:r>
      <w:r w:rsidR="0003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0322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рыночной стоимости</w:t>
      </w:r>
      <w:r w:rsidR="00D64E6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цены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объектов муниципального имущества </w:t>
      </w:r>
      <w:r w:rsid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684B89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приватизированных в 2020</w:t>
      </w:r>
      <w:r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64E6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</w:t>
      </w:r>
      <w:r w:rsidR="00D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4E62" w:rsidRPr="0068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B01657" w:rsidRPr="00F162C0" w:rsidRDefault="001D16E9" w:rsidP="00B016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2C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01657" w:rsidRPr="00F162C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"/>
        <w:gridCol w:w="1255"/>
        <w:gridCol w:w="1084"/>
        <w:gridCol w:w="680"/>
        <w:gridCol w:w="936"/>
        <w:gridCol w:w="936"/>
        <w:gridCol w:w="1070"/>
        <w:gridCol w:w="682"/>
        <w:gridCol w:w="821"/>
        <w:gridCol w:w="682"/>
        <w:gridCol w:w="736"/>
      </w:tblGrid>
      <w:tr w:rsidR="00342354" w:rsidRPr="00342354" w:rsidTr="00482E75">
        <w:trPr>
          <w:trHeight w:val="297"/>
        </w:trPr>
        <w:tc>
          <w:tcPr>
            <w:tcW w:w="218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Calibri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676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приватизации</w:t>
            </w:r>
          </w:p>
        </w:tc>
        <w:tc>
          <w:tcPr>
            <w:tcW w:w="366" w:type="pct"/>
            <w:vMerge w:val="restart"/>
            <w:vAlign w:val="center"/>
          </w:tcPr>
          <w:p w:rsidR="007D7FC8" w:rsidRPr="00342354" w:rsidRDefault="007D0A03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Кол-во</w:t>
            </w:r>
            <w:r w:rsidR="007D7FC8"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04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Балансовая  стоимость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учетом НДС,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Рыночная  стоимость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учетом НДС,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     продажи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учетом НДС,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573" w:type="pct"/>
            <w:gridSpan w:val="4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Отношение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цены продажи</w:t>
            </w:r>
          </w:p>
        </w:tc>
      </w:tr>
      <w:tr w:rsidR="007D0A03" w:rsidRPr="00342354" w:rsidTr="00482E75">
        <w:trPr>
          <w:trHeight w:val="590"/>
        </w:trPr>
        <w:tc>
          <w:tcPr>
            <w:tcW w:w="218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балансовой</w:t>
            </w:r>
          </w:p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стоимости</w:t>
            </w:r>
          </w:p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</w:tc>
        <w:tc>
          <w:tcPr>
            <w:tcW w:w="763" w:type="pct"/>
            <w:gridSpan w:val="2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рыночной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стоимости</w:t>
            </w:r>
          </w:p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имущества</w:t>
            </w:r>
          </w:p>
        </w:tc>
      </w:tr>
      <w:tr w:rsidR="007D0A03" w:rsidRPr="00342354" w:rsidTr="00482E75">
        <w:trPr>
          <w:trHeight w:val="438"/>
        </w:trPr>
        <w:tc>
          <w:tcPr>
            <w:tcW w:w="218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42" w:type="pct"/>
            <w:vAlign w:val="center"/>
          </w:tcPr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  <w:r w:rsid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367" w:type="pct"/>
            <w:vAlign w:val="center"/>
          </w:tcPr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96" w:type="pct"/>
            <w:vAlign w:val="center"/>
          </w:tcPr>
          <w:p w:rsidR="007D7FC8" w:rsidRPr="00342354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</w:t>
            </w:r>
          </w:p>
        </w:tc>
      </w:tr>
      <w:tr w:rsidR="007D0A03" w:rsidRPr="00342354" w:rsidTr="00482E75">
        <w:trPr>
          <w:trHeight w:val="462"/>
        </w:trPr>
        <w:tc>
          <w:tcPr>
            <w:tcW w:w="218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6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84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6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4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4" w:type="pct"/>
            <w:vAlign w:val="center"/>
          </w:tcPr>
          <w:p w:rsidR="001D16E9" w:rsidRDefault="001D16E9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76" w:type="pct"/>
            <w:vAlign w:val="center"/>
          </w:tcPr>
          <w:p w:rsidR="007D7FC8" w:rsidRPr="00D90873" w:rsidRDefault="007D7FC8" w:rsidP="00D9087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67" w:type="pct"/>
            <w:vAlign w:val="center"/>
          </w:tcPr>
          <w:p w:rsidR="003F631D" w:rsidRPr="00D90873" w:rsidRDefault="003F631D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  <w:p w:rsidR="003F631D" w:rsidRPr="00D90873" w:rsidRDefault="00D24DA1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(7/5</w:t>
            </w:r>
            <w:r w:rsidR="003F631D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*</w:t>
            </w:r>
            <w:r w:rsidR="007D0A03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="003F631D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100%)</w:t>
            </w:r>
          </w:p>
        </w:tc>
        <w:tc>
          <w:tcPr>
            <w:tcW w:w="442" w:type="pct"/>
            <w:vAlign w:val="center"/>
          </w:tcPr>
          <w:p w:rsidR="003F631D" w:rsidRPr="00D90873" w:rsidRDefault="003F631D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  <w:p w:rsidR="003F631D" w:rsidRPr="00D90873" w:rsidRDefault="00D24DA1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(7-5</w:t>
            </w:r>
            <w:r w:rsidR="003F631D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7" w:type="pct"/>
            <w:vAlign w:val="center"/>
          </w:tcPr>
          <w:p w:rsidR="007D7FC8" w:rsidRPr="00D90873" w:rsidRDefault="00370526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r w:rsidR="007D0A03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="007D7FC8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(7/</w:t>
            </w:r>
            <w:r w:rsidR="00D24DA1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7D7FC8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*</w:t>
            </w:r>
            <w:r w:rsidR="007D0A03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D7FC8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100%)</w:t>
            </w:r>
          </w:p>
        </w:tc>
        <w:tc>
          <w:tcPr>
            <w:tcW w:w="396" w:type="pct"/>
            <w:vAlign w:val="center"/>
          </w:tcPr>
          <w:p w:rsidR="007D7FC8" w:rsidRPr="00D90873" w:rsidRDefault="00370526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  <w:p w:rsidR="007D7FC8" w:rsidRPr="00D90873" w:rsidRDefault="007D7FC8" w:rsidP="00D90873">
            <w:pPr>
              <w:tabs>
                <w:tab w:val="num" w:pos="72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(7</w:t>
            </w:r>
            <w:r w:rsidR="00D24DA1"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-6</w:t>
            </w:r>
            <w:r w:rsidRPr="00D90873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7D0A03" w:rsidRPr="00342354" w:rsidTr="00482E75">
        <w:trPr>
          <w:trHeight w:val="716"/>
        </w:trPr>
        <w:tc>
          <w:tcPr>
            <w:tcW w:w="218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6" w:type="pct"/>
            <w:vAlign w:val="center"/>
          </w:tcPr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Гараж, расположенный по адресу: Ханты-Мансийский автономный округ - Югра, г. Ханты-</w:t>
            </w:r>
            <w:r w:rsidRPr="003423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Мансийск, ГСК "Иртыш", ряд 5, бокс 33</w:t>
            </w:r>
          </w:p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Земельный участок, расположенный по адресу: Ханты-Мансийский автономный округ - Югра, г. Ханты-Мансийск, ГСК "Иртыш", ряд 5, бокс 33</w:t>
            </w:r>
          </w:p>
        </w:tc>
        <w:tc>
          <w:tcPr>
            <w:tcW w:w="58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36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sz w:val="14"/>
                <w:szCs w:val="14"/>
              </w:rPr>
            </w:pPr>
          </w:p>
          <w:p w:rsidR="00465849" w:rsidRDefault="00465849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5849" w:rsidRDefault="00465849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219,1                                      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92,1</w:t>
            </w: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 xml:space="preserve">тыс. рублей </w:t>
            </w:r>
            <w:r w:rsidRPr="003423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кадастровая стоимость земельного участка)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sz w:val="14"/>
                <w:szCs w:val="14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219,1                                      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 xml:space="preserve">тыс. рублей кадастровая стоимость </w:t>
            </w:r>
            <w:r w:rsidRPr="003423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земельного участка)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1D16E9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253,9                          (в том числе за земельный участок 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40,6 </w:t>
            </w:r>
            <w:r w:rsidR="001D1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рублей)</w:t>
            </w:r>
            <w:proofErr w:type="gramEnd"/>
          </w:p>
        </w:tc>
        <w:tc>
          <w:tcPr>
            <w:tcW w:w="367" w:type="pct"/>
            <w:vAlign w:val="center"/>
          </w:tcPr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9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34,8</w:t>
            </w:r>
          </w:p>
        </w:tc>
      </w:tr>
      <w:tr w:rsidR="007D0A03" w:rsidRPr="00342354" w:rsidTr="00482E75">
        <w:trPr>
          <w:trHeight w:val="716"/>
        </w:trPr>
        <w:tc>
          <w:tcPr>
            <w:tcW w:w="218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676" w:type="pct"/>
            <w:vAlign w:val="center"/>
          </w:tcPr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Здание гаража, расположенное по адресу: Ханты-Мансийский автономный округ - Югра, г. Ханты-Мансийск, ГСК "Обь", ряд 3, бокс N 16</w:t>
            </w:r>
          </w:p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Земельный участок, расположенный по адресу: Ханты-Мансийский автономный округ - Югра, г. Ханты-Мансийск, ГСК "Обь", ряд 3, бокс N 16</w:t>
            </w:r>
          </w:p>
        </w:tc>
        <w:tc>
          <w:tcPr>
            <w:tcW w:w="58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36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pct"/>
            <w:vAlign w:val="center"/>
          </w:tcPr>
          <w:p w:rsidR="00465849" w:rsidRDefault="00465849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5849" w:rsidRDefault="00465849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132,2                                      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5,1</w:t>
            </w: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202,1                                      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32,4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рублей кадастровая стоимость земельного участка)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202,1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 за земельный участок   32,4                    тыс. рублей)</w:t>
            </w:r>
          </w:p>
        </w:tc>
        <w:tc>
          <w:tcPr>
            <w:tcW w:w="367" w:type="pct"/>
            <w:vAlign w:val="center"/>
          </w:tcPr>
          <w:p w:rsidR="007D7FC8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53,0</w:t>
            </w: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7D7FC8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67" w:type="pct"/>
            <w:vAlign w:val="center"/>
          </w:tcPr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vAlign w:val="center"/>
          </w:tcPr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23506" w:rsidRDefault="00B2350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D0A03" w:rsidRPr="00342354" w:rsidTr="00482E75">
        <w:trPr>
          <w:trHeight w:val="716"/>
        </w:trPr>
        <w:tc>
          <w:tcPr>
            <w:tcW w:w="218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6" w:type="pct"/>
            <w:vAlign w:val="center"/>
          </w:tcPr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Гараж, расположенный по адресу: Ханты-Мансийский автономный округ - Югра, г. Ханты-Мансийск, район лодочной станции</w:t>
            </w:r>
          </w:p>
          <w:p w:rsidR="007D7FC8" w:rsidRPr="00342354" w:rsidRDefault="007D7FC8" w:rsidP="00D9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Земельный участок, расположенный по адресу: Ханты-Мансийский автономный округ - Югра, г. Ханты-Мансийск, район лодочной станции</w:t>
            </w:r>
          </w:p>
        </w:tc>
        <w:tc>
          <w:tcPr>
            <w:tcW w:w="58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36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202,0</w:t>
            </w: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58,6</w:t>
            </w:r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297,7                                      (в том числе</w:t>
            </w:r>
            <w:proofErr w:type="gramEnd"/>
          </w:p>
          <w:p w:rsidR="007D7FC8" w:rsidRPr="00342354" w:rsidRDefault="007D7FC8" w:rsidP="00D908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47,6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hAnsi="Times New Roman" w:cs="Times New Roman"/>
                <w:sz w:val="14"/>
                <w:szCs w:val="14"/>
              </w:rPr>
              <w:t>тыс. рублей кадастровая стоимость земельного участка)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327,5                           (в том числе за земельный участок                52,4                      тыс. рублей)</w:t>
            </w:r>
          </w:p>
        </w:tc>
        <w:tc>
          <w:tcPr>
            <w:tcW w:w="367" w:type="pct"/>
            <w:vAlign w:val="center"/>
          </w:tcPr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322F6" w:rsidRDefault="000322F6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62,1</w:t>
            </w:r>
          </w:p>
          <w:p w:rsidR="00465849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465849" w:rsidRPr="00342354" w:rsidRDefault="00465849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125,5</w:t>
            </w:r>
          </w:p>
        </w:tc>
        <w:tc>
          <w:tcPr>
            <w:tcW w:w="367" w:type="pct"/>
            <w:vAlign w:val="center"/>
          </w:tcPr>
          <w:p w:rsidR="007D7FC8" w:rsidRPr="00342354" w:rsidRDefault="007D0A03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96" w:type="pct"/>
            <w:vAlign w:val="center"/>
          </w:tcPr>
          <w:p w:rsidR="007D7FC8" w:rsidRPr="00342354" w:rsidRDefault="007D0A03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</w:tr>
      <w:tr w:rsidR="007D0A03" w:rsidRPr="00342354" w:rsidTr="00482E75">
        <w:trPr>
          <w:trHeight w:val="361"/>
        </w:trPr>
        <w:tc>
          <w:tcPr>
            <w:tcW w:w="1477" w:type="pct"/>
            <w:gridSpan w:val="3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ИТОГО: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553,3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кадастровая стоимость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земельны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155,8                      тыс. рублей)</w:t>
            </w:r>
          </w:p>
        </w:tc>
        <w:tc>
          <w:tcPr>
            <w:tcW w:w="504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753,7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(в том числе 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кадастровая стоимость 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120,5                     тыс. рублей)</w:t>
            </w:r>
          </w:p>
        </w:tc>
        <w:tc>
          <w:tcPr>
            <w:tcW w:w="57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783,5</w:t>
            </w:r>
          </w:p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том числе за земельны</w:t>
            </w:r>
            <w:r w:rsidR="00DA02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участки        125,4                  тыс. рублей)</w:t>
            </w:r>
          </w:p>
        </w:tc>
        <w:tc>
          <w:tcPr>
            <w:tcW w:w="367" w:type="pct"/>
            <w:vAlign w:val="center"/>
          </w:tcPr>
          <w:p w:rsidR="007D0A03" w:rsidRPr="00342354" w:rsidRDefault="007D0A03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442" w:type="pct"/>
            <w:vAlign w:val="center"/>
          </w:tcPr>
          <w:p w:rsidR="007D0A03" w:rsidRPr="00342354" w:rsidRDefault="007D0A03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230,2</w:t>
            </w:r>
          </w:p>
        </w:tc>
        <w:tc>
          <w:tcPr>
            <w:tcW w:w="367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96" w:type="pct"/>
            <w:vAlign w:val="center"/>
          </w:tcPr>
          <w:p w:rsidR="007D7FC8" w:rsidRPr="00342354" w:rsidRDefault="007D7FC8" w:rsidP="00D9087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423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29,8</w:t>
            </w:r>
          </w:p>
        </w:tc>
      </w:tr>
    </w:tbl>
    <w:p w:rsidR="00B01657" w:rsidRPr="00F14CBC" w:rsidRDefault="00B01657" w:rsidP="00B0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82E75" w:rsidRDefault="00B01657" w:rsidP="00482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E412D1"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приватизированных в 20</w:t>
      </w:r>
      <w:r w:rsidR="009B785B"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C4DBB"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339FF"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 составила </w:t>
      </w:r>
      <w:r w:rsidR="009B785B"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>553,3</w:t>
      </w: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9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рыночная </w:t>
      </w:r>
      <w:r w:rsidR="0099244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DA02E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753,7</w:t>
      </w:r>
      <w:r w:rsidR="0099244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цена их продажи </w:t>
      </w:r>
      <w:r w:rsidR="004339FF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785B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84250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в отчетном году приватизация осуществлена </w:t>
      </w:r>
      <w:r w:rsidR="009B479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785B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230,2</w:t>
      </w:r>
      <w:r w:rsidR="009B479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2E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41,6 %</w:t>
      </w:r>
      <w:r w:rsidR="009B479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5B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41643A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F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1643A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балансовой стоимостью</w:t>
      </w:r>
      <w:r w:rsidR="004A050F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2E5" w:rsidRPr="001D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29,8  тыс. рублей или на 4 % выше рыночной стоимости приватизированных объектов муниципального имущества.</w:t>
      </w:r>
    </w:p>
    <w:p w:rsidR="00482E75" w:rsidRDefault="00B01657" w:rsidP="00482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причиной неисполнения Плана приватизации явилось                     – отсутствие поданных заявок на участие в торгах.</w:t>
      </w:r>
    </w:p>
    <w:p w:rsidR="00482E75" w:rsidRDefault="00005484" w:rsidP="00482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12A6F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</w:t>
      </w:r>
      <w:r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по которым торги </w:t>
      </w:r>
      <w:r w:rsidR="008C4DBB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состоялись, включены в прогнозный план приватизации муниципального имущества Ханты-Мансийского района на 20</w:t>
      </w:r>
      <w:r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E2EC2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9137A6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137A6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573"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82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DBB" w:rsidRDefault="004C1545" w:rsidP="00D36D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6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</w:t>
      </w:r>
      <w:r w:rsidR="004F1110" w:rsidRPr="009137A6">
        <w:rPr>
          <w:rFonts w:ascii="Times New Roman" w:hAnsi="Times New Roman" w:cs="Times New Roman"/>
          <w:sz w:val="28"/>
          <w:szCs w:val="28"/>
        </w:rPr>
        <w:t>бращае</w:t>
      </w:r>
      <w:r w:rsidRPr="009137A6">
        <w:rPr>
          <w:rFonts w:ascii="Times New Roman" w:hAnsi="Times New Roman" w:cs="Times New Roman"/>
          <w:sz w:val="28"/>
          <w:szCs w:val="28"/>
        </w:rPr>
        <w:t>т</w:t>
      </w:r>
      <w:r w:rsidR="004F1110" w:rsidRPr="009137A6">
        <w:rPr>
          <w:rFonts w:ascii="Times New Roman" w:hAnsi="Times New Roman" w:cs="Times New Roman"/>
          <w:sz w:val="28"/>
          <w:szCs w:val="28"/>
        </w:rPr>
        <w:t xml:space="preserve"> внимание, что невыполнение прогнозного плана приватизации (полностью или частично) влечет риск неисполнения доходной части бюд</w:t>
      </w:r>
      <w:r w:rsidR="00482E75">
        <w:rPr>
          <w:rFonts w:ascii="Times New Roman" w:hAnsi="Times New Roman" w:cs="Times New Roman"/>
          <w:sz w:val="28"/>
          <w:szCs w:val="28"/>
        </w:rPr>
        <w:t>жета и, как следствие, нарушение</w:t>
      </w:r>
      <w:r w:rsidR="004F1110" w:rsidRPr="009137A6">
        <w:rPr>
          <w:rFonts w:ascii="Times New Roman" w:hAnsi="Times New Roman" w:cs="Times New Roman"/>
          <w:sz w:val="28"/>
          <w:szCs w:val="28"/>
        </w:rPr>
        <w:t xml:space="preserve"> принципа сбалансированности бюдже</w:t>
      </w:r>
      <w:r w:rsidR="009137A6">
        <w:rPr>
          <w:rFonts w:ascii="Times New Roman" w:hAnsi="Times New Roman" w:cs="Times New Roman"/>
          <w:sz w:val="28"/>
          <w:szCs w:val="28"/>
        </w:rPr>
        <w:t>та, установленного статье</w:t>
      </w:r>
      <w:r w:rsidR="004F1110" w:rsidRPr="009137A6">
        <w:rPr>
          <w:rFonts w:ascii="Times New Roman" w:hAnsi="Times New Roman" w:cs="Times New Roman"/>
          <w:sz w:val="28"/>
          <w:szCs w:val="28"/>
        </w:rPr>
        <w:t>й 33 Бюджетного кодекса РФ, и неисполнения расходных обязательств муниципального образования.</w:t>
      </w:r>
    </w:p>
    <w:p w:rsidR="00F54F00" w:rsidRPr="009137A6" w:rsidRDefault="00B01657" w:rsidP="00D36D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иные замечания и предложения к Проекту отсутствуют.</w:t>
      </w:r>
    </w:p>
    <w:sectPr w:rsidR="00F54F00" w:rsidRPr="009137A6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76E43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C0F6A"/>
    <w:rsid w:val="000E2AD9"/>
    <w:rsid w:val="000E4D41"/>
    <w:rsid w:val="000E7859"/>
    <w:rsid w:val="000F242D"/>
    <w:rsid w:val="000F26F3"/>
    <w:rsid w:val="00113D3B"/>
    <w:rsid w:val="00114DA7"/>
    <w:rsid w:val="00150967"/>
    <w:rsid w:val="001578E9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5B06"/>
    <w:rsid w:val="00301280"/>
    <w:rsid w:val="00317C12"/>
    <w:rsid w:val="0032370D"/>
    <w:rsid w:val="00342354"/>
    <w:rsid w:val="00343BF0"/>
    <w:rsid w:val="00343FF5"/>
    <w:rsid w:val="00350D43"/>
    <w:rsid w:val="0035225D"/>
    <w:rsid w:val="003624D8"/>
    <w:rsid w:val="00370526"/>
    <w:rsid w:val="00382EE6"/>
    <w:rsid w:val="00393DAD"/>
    <w:rsid w:val="00397EFC"/>
    <w:rsid w:val="003F2416"/>
    <w:rsid w:val="003F3603"/>
    <w:rsid w:val="003F631D"/>
    <w:rsid w:val="00404BE7"/>
    <w:rsid w:val="00411891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849"/>
    <w:rsid w:val="00465FC6"/>
    <w:rsid w:val="00482E75"/>
    <w:rsid w:val="00490E65"/>
    <w:rsid w:val="00495630"/>
    <w:rsid w:val="004A050F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218B"/>
    <w:rsid w:val="00532CA8"/>
    <w:rsid w:val="005439BD"/>
    <w:rsid w:val="0056094E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7343BF"/>
    <w:rsid w:val="0077481C"/>
    <w:rsid w:val="00776C17"/>
    <w:rsid w:val="00790E1C"/>
    <w:rsid w:val="00790EA4"/>
    <w:rsid w:val="00797DF4"/>
    <w:rsid w:val="007A0722"/>
    <w:rsid w:val="007A22CF"/>
    <w:rsid w:val="007B1E34"/>
    <w:rsid w:val="007C54A4"/>
    <w:rsid w:val="007C5828"/>
    <w:rsid w:val="007D0A03"/>
    <w:rsid w:val="007D7FC8"/>
    <w:rsid w:val="007E7FD9"/>
    <w:rsid w:val="007F231C"/>
    <w:rsid w:val="00805A4C"/>
    <w:rsid w:val="00810984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86731"/>
    <w:rsid w:val="00887852"/>
    <w:rsid w:val="00897941"/>
    <w:rsid w:val="00897CB6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50255"/>
    <w:rsid w:val="00A57343"/>
    <w:rsid w:val="00A57C4A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7412C"/>
    <w:rsid w:val="00C93B61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36DBB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93BC3"/>
    <w:rsid w:val="00EA36BD"/>
    <w:rsid w:val="00EA6FE3"/>
    <w:rsid w:val="00ED01A2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4F00"/>
    <w:rsid w:val="00F55E37"/>
    <w:rsid w:val="00F60096"/>
    <w:rsid w:val="00F64E07"/>
    <w:rsid w:val="00F6708F"/>
    <w:rsid w:val="00F6791C"/>
    <w:rsid w:val="00F765C7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D355-A2F0-49F7-8533-1A223B6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2021-03-03T10:56:00Z</dcterms:modified>
</cp:coreProperties>
</file>